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277BE6" w14:paraId="6E438FA2" w14:textId="77777777" w:rsidTr="006906B5">
        <w:trPr>
          <w:trHeight w:val="258"/>
        </w:trPr>
        <w:tc>
          <w:tcPr>
            <w:tcW w:w="9524" w:type="dxa"/>
            <w:tcBorders>
              <w:top w:val="nil"/>
              <w:left w:val="nil"/>
              <w:bottom w:val="nil"/>
              <w:right w:val="nil"/>
            </w:tcBorders>
            <w:vAlign w:val="center"/>
            <w:hideMark/>
          </w:tcPr>
          <w:p w14:paraId="311ADAAB" w14:textId="1E0F7939" w:rsidR="006906B5" w:rsidRPr="000D1AC2" w:rsidRDefault="0069001F" w:rsidP="00570B8C">
            <w:pPr>
              <w:spacing w:before="120"/>
              <w:jc w:val="center"/>
              <w:rPr>
                <w:b/>
                <w:bCs/>
                <w:sz w:val="24"/>
                <w:szCs w:val="24"/>
                <w:highlight w:val="yellow"/>
                <w:u w:val="single"/>
                <w:shd w:val="clear" w:color="auto" w:fill="FFFFFF" w:themeFill="background1"/>
                <w:lang w:val="en-US"/>
              </w:rPr>
            </w:pPr>
            <w:r w:rsidRPr="004225A2">
              <w:rPr>
                <w:b/>
                <w:sz w:val="24"/>
                <w:szCs w:val="24"/>
                <w:lang w:val="ro-MD"/>
              </w:rPr>
              <w:t xml:space="preserve">privind </w:t>
            </w:r>
            <w:r w:rsidRPr="006906B5">
              <w:rPr>
                <w:b/>
                <w:sz w:val="24"/>
                <w:szCs w:val="24"/>
                <w:lang w:val="ro-RO"/>
              </w:rPr>
              <w:t xml:space="preserve">achiziționarea </w:t>
            </w:r>
            <w:r w:rsidR="005214A7" w:rsidRPr="005214A7">
              <w:rPr>
                <w:b/>
                <w:bCs/>
                <w:sz w:val="24"/>
                <w:szCs w:val="24"/>
                <w:highlight w:val="yellow"/>
                <w:u w:val="single"/>
                <w:shd w:val="clear" w:color="auto" w:fill="FFFFFF" w:themeFill="background1"/>
                <w:lang w:val="ro-RO"/>
              </w:rPr>
              <w:t>Lucrări de reparație la Gimnaziu  nr.49</w:t>
            </w:r>
          </w:p>
        </w:tc>
      </w:tr>
    </w:tbl>
    <w:p w14:paraId="27B86053" w14:textId="7FD1FDA0"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C94645">
        <w:rPr>
          <w:b/>
          <w:sz w:val="24"/>
          <w:szCs w:val="24"/>
          <w:shd w:val="clear" w:color="auto" w:fill="FFFF00"/>
          <w:lang w:val="ro-MD"/>
        </w:rPr>
        <w:t>COP</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64056029" w14:textId="31E8B4BC" w:rsidR="005214A7" w:rsidRDefault="00277BE6" w:rsidP="005214A7">
      <w:pPr>
        <w:tabs>
          <w:tab w:val="left" w:pos="284"/>
          <w:tab w:val="right" w:pos="9531"/>
        </w:tabs>
        <w:spacing w:before="120"/>
        <w:ind w:left="288"/>
        <w:rPr>
          <w:b/>
          <w:sz w:val="24"/>
          <w:szCs w:val="24"/>
          <w:lang w:val="ro-MD"/>
        </w:rPr>
      </w:pPr>
      <w:hyperlink r:id="rId9" w:history="1">
        <w:r w:rsidRPr="00C460E8">
          <w:rPr>
            <w:rStyle w:val="ac"/>
            <w:b/>
            <w:sz w:val="24"/>
            <w:szCs w:val="24"/>
            <w:lang w:val="ro-MD"/>
          </w:rPr>
          <w:t>https://achizitii.md/ro/public/tender/21454268/</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Link-ul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277BE6"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484E61DA" w:rsidR="006836DD" w:rsidRPr="00FC0862" w:rsidRDefault="005214A7" w:rsidP="007449EF">
            <w:pPr>
              <w:pStyle w:val="ad"/>
              <w:rPr>
                <w:i/>
                <w:sz w:val="24"/>
                <w:szCs w:val="24"/>
                <w:lang w:val="en-US"/>
              </w:rPr>
            </w:pPr>
            <w:r w:rsidRPr="005214A7">
              <w:rPr>
                <w:b/>
                <w:bCs/>
                <w:i/>
                <w:sz w:val="24"/>
                <w:szCs w:val="24"/>
                <w:u w:val="single"/>
                <w:lang w:val="ro-RO"/>
              </w:rPr>
              <w:t>Lucrări de reparație la Gimnaziu  nr.49</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 c) Participanţii asigură efectuarea lucrărilor în conformitate cu documentaţia de deviz şi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şi ofertantul câștigător în termen de 2 zile de la data la care i-a fost remis spre semnare; e) Lucrările vor începe în decurs de 3 zile de la semnarea contractului și primirii ordinului de începere a execuţiei lucrărilor. f)Termenul de garanţie a lucrărilor prestate este de </w:t>
            </w:r>
            <w:r w:rsidR="00273276">
              <w:rPr>
                <w:sz w:val="18"/>
                <w:szCs w:val="18"/>
                <w:lang w:val="ro-RO"/>
              </w:rPr>
              <w:t>5</w:t>
            </w:r>
            <w:r w:rsidRPr="00F52A84">
              <w:rPr>
                <w:sz w:val="18"/>
                <w:szCs w:val="18"/>
                <w:lang w:val="ro-RO"/>
              </w:rPr>
              <w:t xml:space="preserve"> ani din momentul recepţiei lucrărilor; g) Agentul economic va garanta executarea contractului, depunând o garanţie de asigurare a executării contractului în sumă de </w:t>
            </w:r>
            <w:r w:rsidR="00A715B8">
              <w:rPr>
                <w:sz w:val="18"/>
                <w:szCs w:val="18"/>
                <w:lang w:val="ro-RO"/>
              </w:rPr>
              <w:t>1</w:t>
            </w:r>
            <w:r w:rsidRPr="00F52A84">
              <w:rPr>
                <w:sz w:val="18"/>
                <w:szCs w:val="18"/>
                <w:lang w:val="ro-RO"/>
              </w:rPr>
              <w:t>5 % din suma contractului, în timpul încheierii contractului. Garanţia de asigurare a executării contractului se constituie de către ofertant în scopul asigurării autorităţii contractante de îndeplinirea cantitativă, calitativă şi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33E0A314" w:rsidR="006836DD" w:rsidRPr="005214A7" w:rsidRDefault="005214A7" w:rsidP="00D51155">
            <w:pPr>
              <w:jc w:val="center"/>
              <w:rPr>
                <w:sz w:val="22"/>
                <w:szCs w:val="22"/>
                <w:lang w:val="ro-MD"/>
              </w:rPr>
            </w:pPr>
            <w:r>
              <w:rPr>
                <w:b/>
                <w:bCs/>
                <w:sz w:val="22"/>
                <w:szCs w:val="22"/>
                <w:lang w:val="ro-MD"/>
              </w:rPr>
              <w:lastRenderedPageBreak/>
              <w:t>741137,08</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4C7DB859" w:rsidR="0069001F" w:rsidRPr="00207EED" w:rsidRDefault="005214A7" w:rsidP="00207EED">
            <w:pPr>
              <w:jc w:val="center"/>
              <w:rPr>
                <w:sz w:val="22"/>
                <w:szCs w:val="22"/>
                <w:lang w:val="ro-RO"/>
              </w:rPr>
            </w:pPr>
            <w:r w:rsidRPr="005214A7">
              <w:rPr>
                <w:b/>
                <w:bCs/>
                <w:sz w:val="22"/>
                <w:szCs w:val="22"/>
                <w:lang w:val="ro-MD"/>
              </w:rPr>
              <w:t>741137,08</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51FC7AD4"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5214A7">
        <w:rPr>
          <w:b/>
          <w:sz w:val="24"/>
          <w:szCs w:val="24"/>
          <w:shd w:val="clear" w:color="auto" w:fill="FFFF00"/>
          <w:lang w:val="ro-RO"/>
        </w:rPr>
        <w:t>15</w:t>
      </w:r>
      <w:r w:rsidR="00CB3F58" w:rsidRPr="00CB3F58">
        <w:rPr>
          <w:b/>
          <w:sz w:val="24"/>
          <w:szCs w:val="24"/>
          <w:shd w:val="clear" w:color="auto" w:fill="FFFF00"/>
          <w:lang w:val="ro-RO"/>
        </w:rPr>
        <w:t>.</w:t>
      </w:r>
      <w:r w:rsidR="005214A7">
        <w:rPr>
          <w:b/>
          <w:sz w:val="24"/>
          <w:szCs w:val="24"/>
          <w:shd w:val="clear" w:color="auto" w:fill="FFFF00"/>
          <w:lang w:val="ro-RO"/>
        </w:rPr>
        <w:t>10</w:t>
      </w:r>
      <w:r w:rsidR="00CB3F58" w:rsidRPr="00CB3F58">
        <w:rPr>
          <w:b/>
          <w:sz w:val="24"/>
          <w:szCs w:val="24"/>
          <w:shd w:val="clear" w:color="auto" w:fill="FFFF00"/>
          <w:lang w:val="ro-RO"/>
        </w:rPr>
        <w:t>.202</w:t>
      </w:r>
      <w:r w:rsidR="0042227F">
        <w:rPr>
          <w:b/>
          <w:sz w:val="24"/>
          <w:szCs w:val="24"/>
          <w:shd w:val="clear" w:color="auto" w:fill="FFFF00"/>
          <w:lang w:val="ro-RO"/>
        </w:rPr>
        <w:t>5</w:t>
      </w:r>
    </w:p>
    <w:p w14:paraId="563AA15F" w14:textId="24DB4E39"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6848C2">
        <w:rPr>
          <w:b/>
          <w:sz w:val="24"/>
          <w:szCs w:val="24"/>
          <w:shd w:val="clear" w:color="auto" w:fill="FFFF00"/>
          <w:lang w:val="ro-RO"/>
        </w:rPr>
        <w:t>5</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277BE6"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r w:rsidRPr="00F52A84">
              <w:rPr>
                <w:rFonts w:eastAsia="SimSun"/>
                <w:b/>
                <w:lang w:val="ro-RO"/>
              </w:rPr>
              <w:t xml:space="preserve">Declaraţie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77BE6"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95D2058" w:rsidR="00805E2B" w:rsidRPr="00805E2B" w:rsidRDefault="00805E2B" w:rsidP="00F52A84">
            <w:pPr>
              <w:rPr>
                <w:rFonts w:eastAsia="SimSun"/>
                <w:bCs/>
                <w:lang w:val="ro-RO"/>
              </w:rPr>
            </w:pPr>
            <w:r w:rsidRPr="00805E2B">
              <w:rPr>
                <w:rFonts w:eastAsia="SimSun"/>
                <w:bCs/>
                <w:lang w:val="ro-RO"/>
              </w:rPr>
              <w:t xml:space="preserve">VALABILĂ </w:t>
            </w:r>
            <w:r w:rsidR="006848C2">
              <w:rPr>
                <w:rFonts w:eastAsia="SimSun"/>
                <w:bCs/>
                <w:lang w:val="ro-RO"/>
              </w:rPr>
              <w:t>6</w:t>
            </w:r>
            <w:r w:rsidRPr="00805E2B">
              <w:rPr>
                <w:rFonts w:eastAsia="SimSun"/>
                <w:bCs/>
                <w:lang w:val="ro-RO"/>
              </w:rPr>
              <w:t>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însoţită de o Garanţie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r w:rsidRPr="00805E2B">
              <w:rPr>
                <w:rFonts w:eastAsia="SimSun"/>
                <w:i/>
                <w:lang w:val="ro-RO"/>
              </w:rPr>
              <w:t>Garanţia pentru ofertă prin transfer la contul autorităţii contractante, conform următoarelor date bancare:</w:t>
            </w:r>
          </w:p>
          <w:p w14:paraId="548D484C" w14:textId="77777777" w:rsidR="00805E2B" w:rsidRPr="00805E2B" w:rsidRDefault="00805E2B" w:rsidP="00805E2B">
            <w:pPr>
              <w:rPr>
                <w:rFonts w:eastAsia="SimSun"/>
                <w:i/>
                <w:lang w:val="ro-RO"/>
              </w:rPr>
            </w:pPr>
            <w:r w:rsidRPr="00805E2B">
              <w:rPr>
                <w:rFonts w:eastAsia="SimSun"/>
                <w:i/>
                <w:lang w:val="en-US"/>
              </w:rPr>
              <w:t xml:space="preserve">Beneficiarul plăţii: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r w:rsidRPr="00805E2B">
              <w:rPr>
                <w:rFonts w:eastAsia="SimSun"/>
                <w:i/>
                <w:lang w:val="ro-RO"/>
              </w:rPr>
              <w:t>c.b.: MD87TRPCDV518410A00780AA</w:t>
            </w:r>
          </w:p>
          <w:p w14:paraId="63AEF25A" w14:textId="77777777" w:rsidR="00805E2B" w:rsidRPr="00805E2B" w:rsidRDefault="00805E2B" w:rsidP="00805E2B">
            <w:pPr>
              <w:rPr>
                <w:rFonts w:eastAsia="SimSun"/>
                <w:i/>
                <w:lang w:val="ro-RO"/>
              </w:rPr>
            </w:pPr>
            <w:r w:rsidRPr="00805E2B">
              <w:rPr>
                <w:rFonts w:eastAsia="SimSun"/>
                <w:i/>
                <w:lang w:val="ro-RO"/>
              </w:rPr>
              <w:t>c.b.: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garanţia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b) ofertantul câştigător nu semnează contractul de achiziţii sectoriale;</w:t>
            </w:r>
          </w:p>
          <w:p w14:paraId="011B8C72" w14:textId="32BAC88B" w:rsidR="00F27F88" w:rsidRPr="00F52A84" w:rsidRDefault="00805E2B" w:rsidP="00805E2B">
            <w:pPr>
              <w:rPr>
                <w:rFonts w:eastAsia="SimSun"/>
                <w:lang w:val="ro-RO"/>
              </w:rPr>
            </w:pPr>
            <w:r w:rsidRPr="00805E2B">
              <w:rPr>
                <w:rFonts w:eastAsia="SimSun"/>
                <w:i/>
                <w:iCs/>
                <w:lang w:val="ro-MD"/>
              </w:rPr>
              <w:t>c) nu se depune garanția de bună execuţie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77BE6"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r w:rsidRPr="00F52A84">
              <w:rPr>
                <w:rFonts w:eastAsia="SimSun"/>
                <w:b/>
              </w:rPr>
              <w:t>Propunerea financiară</w:t>
            </w:r>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77BE6"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r w:rsidRPr="00F52A84">
              <w:rPr>
                <w:rFonts w:eastAsia="SimSun"/>
                <w:b/>
              </w:rPr>
              <w:t>Propunerea tehnică</w:t>
            </w:r>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r w:rsidRPr="00F52A84">
              <w:rPr>
                <w:rFonts w:eastAsia="SimSun"/>
                <w:lang w:val="en-US"/>
              </w:rPr>
              <w:t>Preţurile indicate în documentația de deviz (Formularele 3, 5 și 7)  se indică în lei moldoveneşti, cu două cifre după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77BE6"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DUAE-ul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277BE6"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77BE6"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Copie. Certificat privind lipsa sau existența restanțelor faţă de bugetul public național. Eliberat de Inspectoratul Fiscal de Stat (valabilitatea certificatului – conform cerinţelor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5214A7"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5214A7"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371FE448"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w:t>
            </w:r>
            <w:r w:rsidR="00EE014F">
              <w:rPr>
                <w:rFonts w:eastAsia="SimSun"/>
                <w:sz w:val="22"/>
                <w:szCs w:val="22"/>
                <w:lang w:val="ro-RO" w:eastAsia="zh-CN"/>
              </w:rPr>
              <w:t>1</w:t>
            </w:r>
            <w:r w:rsidRPr="00B67292">
              <w:rPr>
                <w:rFonts w:eastAsia="SimSun"/>
                <w:sz w:val="22"/>
                <w:szCs w:val="22"/>
                <w:lang w:val="ro-RO" w:eastAsia="zh-CN"/>
              </w:rPr>
              <w:t xml:space="preserve">5 % din valoarea contractului cu TVA. </w:t>
            </w:r>
          </w:p>
          <w:p w14:paraId="721BE929" w14:textId="0C9B20C8"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w:t>
            </w:r>
            <w:r w:rsidR="00EE014F">
              <w:rPr>
                <w:rFonts w:eastAsia="SimSun"/>
                <w:iCs/>
                <w:sz w:val="22"/>
                <w:szCs w:val="22"/>
                <w:lang w:val="ro-MD" w:eastAsia="zh-CN"/>
              </w:rPr>
              <w:t>15</w:t>
            </w:r>
            <w:r w:rsidRPr="00B67292">
              <w:rPr>
                <w:rFonts w:eastAsia="SimSun"/>
                <w:iCs/>
                <w:sz w:val="22"/>
                <w:szCs w:val="22"/>
                <w:lang w:val="ro-MD" w:eastAsia="zh-CN"/>
              </w:rPr>
              <w:t xml:space="preserve">%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pînă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Garanția de buna executare prin transfer la contul autorităţii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c.b.: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c.b.: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cu nota:„ Pentru setul documentelor de licitaţie” sau “Pentru garanţia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0" w:name="_Toc449692099"/>
            <w:bookmarkStart w:id="1" w:name="_Toc449633144"/>
            <w:bookmarkStart w:id="2" w:name="_Toc449632652"/>
            <w:r w:rsidRPr="00F52A84">
              <w:rPr>
                <w:rFonts w:eastAsia="SimSun"/>
                <w:sz w:val="22"/>
                <w:szCs w:val="22"/>
                <w:lang w:val="ro-RO" w:eastAsia="ro-RO"/>
              </w:rPr>
              <w:t>DECLARAŢIE</w:t>
            </w:r>
            <w:bookmarkEnd w:id="0"/>
            <w:bookmarkEnd w:id="1"/>
            <w:bookmarkEnd w:id="2"/>
          </w:p>
          <w:p w14:paraId="580EC879" w14:textId="77777777" w:rsidR="00F52A84" w:rsidRPr="00F52A84" w:rsidRDefault="00F52A84" w:rsidP="00F52A84">
            <w:pPr>
              <w:rPr>
                <w:rFonts w:eastAsia="SimSun"/>
                <w:sz w:val="22"/>
                <w:szCs w:val="22"/>
                <w:lang w:val="ro-RO" w:eastAsia="ro-RO"/>
              </w:rPr>
            </w:pPr>
            <w:bookmarkStart w:id="3" w:name="_Toc449692100"/>
            <w:bookmarkStart w:id="4" w:name="_Toc449633145"/>
            <w:bookmarkStart w:id="5"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3"/>
            <w:bookmarkEnd w:id="4"/>
            <w:bookmarkEnd w:id="5"/>
            <w:r w:rsidRPr="00F52A84">
              <w:rPr>
                <w:rFonts w:eastAsia="SimSun"/>
                <w:sz w:val="22"/>
                <w:szCs w:val="22"/>
                <w:lang w:val="ro-RO" w:eastAsia="ro-RO"/>
              </w:rPr>
              <w:t xml:space="preserve">pentru participarea la activităţi ale unei organizaţii sau grupări criminale, pentru </w:t>
            </w:r>
            <w:r w:rsidRPr="00F52A84">
              <w:rPr>
                <w:rFonts w:eastAsia="SimSun"/>
                <w:sz w:val="22"/>
                <w:szCs w:val="22"/>
                <w:lang w:val="ro-RO" w:eastAsia="ro-RO"/>
              </w:rPr>
              <w:lastRenderedPageBreak/>
              <w:t>corupţie, fraudă şi/sau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5214A7"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5214A7"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5214A7"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Dovada înregistrării persoanei juridice, în conformitate cu prevederile legale din ţara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5214A7"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Ofertantul urmează să dispună de un nivel minim de experienţă pentru a se califica conform cerinţelor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1) executarea în ultimii 5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5214A7"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Tehnico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5214A7"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5214A7"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contactante,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însoţit de certificări de bună execuţie pentru cele mai importante lucrări.</w:t>
            </w:r>
            <w:r w:rsidRPr="00F52A84">
              <w:rPr>
                <w:rFonts w:eastAsia="SimSun"/>
                <w:sz w:val="22"/>
                <w:szCs w:val="22"/>
                <w:lang w:val="ro-RO"/>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4) o declaraţie referitoare la efectivele medii anuale al personalului angajat şi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5) dacă este cazul, informaţii privind măsurile de protecţie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6) o declaraţie referitoare la utilajele, instalaţiile,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5214A7"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r w:rsidRPr="00F52A84">
              <w:rPr>
                <w:rFonts w:eastAsia="SimSun"/>
                <w:b/>
                <w:sz w:val="22"/>
                <w:szCs w:val="22"/>
                <w:lang w:val="en-US"/>
              </w:rPr>
              <w:t>Dacă este cazul vor fi prezentate anexe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r w:rsidRPr="00F52A84">
              <w:rPr>
                <w:rFonts w:eastAsia="SimSun"/>
                <w:sz w:val="22"/>
                <w:szCs w:val="22"/>
                <w:lang w:val="en-US"/>
              </w:rPr>
              <w:t>confirmată prin semnătura of</w:t>
            </w:r>
            <w:r w:rsidRPr="00F52A84">
              <w:rPr>
                <w:rFonts w:eastAsia="SimSun"/>
                <w:sz w:val="22"/>
                <w:szCs w:val="22"/>
              </w:rPr>
              <w:t>ertantului</w:t>
            </w:r>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5214A7"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5214A7"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5214A7"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5214A7"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restrînse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DB1A7B" w:rsidRDefault="00997600" w:rsidP="00997600">
      <w:pPr>
        <w:tabs>
          <w:tab w:val="right" w:pos="426"/>
        </w:tabs>
        <w:spacing w:before="120"/>
        <w:jc w:val="both"/>
        <w:rPr>
          <w:sz w:val="22"/>
          <w:szCs w:val="22"/>
          <w:lang w:val="ro-RO"/>
        </w:rPr>
      </w:pPr>
      <w:r w:rsidRPr="00DB1A7B">
        <w:rPr>
          <w:sz w:val="22"/>
          <w:szCs w:val="22"/>
          <w:lang w:val="ro-MD"/>
        </w:rPr>
        <w:t>a</w:t>
      </w:r>
      <w:r w:rsidRPr="00DB1A7B">
        <w:rPr>
          <w:sz w:val="22"/>
          <w:szCs w:val="22"/>
          <w:lang w:val="ro-RO"/>
        </w:rPr>
        <w:t>)</w:t>
      </w:r>
      <w:r w:rsidRPr="00DB1A7B">
        <w:rPr>
          <w:b/>
          <w:sz w:val="22"/>
          <w:szCs w:val="22"/>
          <w:lang w:val="ro-RO"/>
        </w:rPr>
        <w:t xml:space="preserve"> </w:t>
      </w:r>
      <w:r w:rsidRPr="00DB1A7B">
        <w:rPr>
          <w:sz w:val="22"/>
          <w:szCs w:val="22"/>
          <w:lang w:val="ro-RO"/>
        </w:rPr>
        <w:t>preţul lucrărilor include toate cheltuielile, inclusiv TVA şi trebuie să fie fix pe toată perioada de executare a contractului;</w:t>
      </w:r>
    </w:p>
    <w:p w14:paraId="329711C6"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6891A0B5" w14:textId="72C38C8F"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c) Participanţii asigură efectuarea lucrărilor în conformitate cu documentaţia de deviz şi se vor conduce de </w:t>
      </w:r>
      <w:r w:rsidR="000423E1" w:rsidRPr="00DB1A7B">
        <w:rPr>
          <w:sz w:val="22"/>
          <w:szCs w:val="22"/>
          <w:lang w:val="ro-RO"/>
        </w:rPr>
        <w:t>legislația și normativele în vigoare.</w:t>
      </w:r>
      <w:r w:rsidRPr="00DB1A7B">
        <w:rPr>
          <w:sz w:val="22"/>
          <w:szCs w:val="22"/>
          <w:lang w:val="ro-RO"/>
        </w:rPr>
        <w:t xml:space="preserve"> </w:t>
      </w:r>
    </w:p>
    <w:p w14:paraId="35CF4068"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d) Contractul se încheie între beneficiarul de stat şi ofertantul câștigător în termen de 2 zile de la data la care i-a fost remis spre semnare; </w:t>
      </w:r>
    </w:p>
    <w:p w14:paraId="6AE6AAE6"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e) Lucrările vor începe în decurs de 3 zile de la semnarea contractului și primirii ordinului de începere a execuţiei lucrărilor.</w:t>
      </w:r>
    </w:p>
    <w:p w14:paraId="2E372095" w14:textId="4B88A6B0"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f)Termenul de garanţie a lucrărilor prestate este de </w:t>
      </w:r>
      <w:r w:rsidR="000423E1" w:rsidRPr="00DB1A7B">
        <w:rPr>
          <w:sz w:val="22"/>
          <w:szCs w:val="22"/>
          <w:lang w:val="ro-RO"/>
        </w:rPr>
        <w:t>5</w:t>
      </w:r>
      <w:r w:rsidRPr="00DB1A7B">
        <w:rPr>
          <w:sz w:val="22"/>
          <w:szCs w:val="22"/>
          <w:lang w:val="ro-RO"/>
        </w:rPr>
        <w:t xml:space="preserve"> ani din momentul recepţiei lucrărilor;</w:t>
      </w:r>
    </w:p>
    <w:p w14:paraId="13E9C4AE"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g) Agentul economic va garanta executarea contractului, depunând o garanţie de asigurare a executării contractului în sumă de </w:t>
      </w:r>
      <w:r w:rsidR="00CE7EA0" w:rsidRPr="00DB1A7B">
        <w:rPr>
          <w:sz w:val="22"/>
          <w:szCs w:val="22"/>
          <w:lang w:val="ro-RO"/>
        </w:rPr>
        <w:t>1</w:t>
      </w:r>
      <w:r w:rsidRPr="00DB1A7B">
        <w:rPr>
          <w:sz w:val="22"/>
          <w:szCs w:val="22"/>
          <w:lang w:val="ro-RO"/>
        </w:rPr>
        <w:t xml:space="preserve">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0A2B04CE"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-Dirigintele de șantier autorizat pentru îndeplinirea lucrărilor conform caietului de sarcini.</w:t>
      </w:r>
    </w:p>
    <w:p w14:paraId="2F641227" w14:textId="77777777" w:rsidR="00997600" w:rsidRPr="00DB1A7B" w:rsidRDefault="00997600" w:rsidP="00997600">
      <w:pPr>
        <w:tabs>
          <w:tab w:val="right" w:pos="426"/>
        </w:tabs>
        <w:spacing w:before="120"/>
        <w:jc w:val="both"/>
        <w:rPr>
          <w:b/>
          <w:sz w:val="22"/>
          <w:szCs w:val="22"/>
          <w:lang w:val="ro-RO"/>
        </w:rPr>
      </w:pPr>
      <w:r w:rsidRPr="00DB1A7B">
        <w:rPr>
          <w:sz w:val="22"/>
          <w:szCs w:val="22"/>
          <w:lang w:val="ro-RO"/>
        </w:rPr>
        <w:t>-</w:t>
      </w:r>
      <w:r w:rsidRPr="00DB1A7B">
        <w:rPr>
          <w:b/>
          <w:sz w:val="22"/>
          <w:szCs w:val="22"/>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68C9DD7E"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6848C2">
        <w:rPr>
          <w:b/>
          <w:sz w:val="24"/>
          <w:szCs w:val="24"/>
          <w:shd w:val="clear" w:color="auto" w:fill="FFFF00"/>
          <w:lang w:val="ro-MD"/>
        </w:rPr>
        <w:t>6</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lastRenderedPageBreak/>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anunţ</w:t>
      </w:r>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5214A7"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370315A5"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A649CB">
        <w:rPr>
          <w:b/>
          <w:sz w:val="24"/>
          <w:szCs w:val="24"/>
          <w:shd w:val="clear" w:color="auto" w:fill="FFFFFF"/>
          <w:lang w:val="ro-RO"/>
        </w:rPr>
        <w:t xml:space="preserve">1 </w:t>
      </w:r>
      <w:r w:rsidR="00997600" w:rsidRPr="00997600">
        <w:rPr>
          <w:b/>
          <w:sz w:val="24"/>
          <w:szCs w:val="24"/>
          <w:shd w:val="clear" w:color="auto" w:fill="FFFFFF"/>
          <w:lang w:val="ro-RO"/>
        </w:rPr>
        <w:t>Zi.</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precum și neîndeplinirea  criteriilor privind eligibilitatea operatorilor economici şi a criteriilor de selecţie.</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44588EBC" w14:textId="49D950BE" w:rsidR="00700A2F" w:rsidRPr="004225A2" w:rsidRDefault="00997600" w:rsidP="00DB1A7B">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EA367" w14:textId="77777777" w:rsidR="00DD6022" w:rsidRDefault="00DD6022">
      <w:r>
        <w:separator/>
      </w:r>
    </w:p>
  </w:endnote>
  <w:endnote w:type="continuationSeparator" w:id="0">
    <w:p w14:paraId="0D78886C" w14:textId="77777777" w:rsidR="00DD6022" w:rsidRDefault="00DD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FF460" w14:textId="77777777" w:rsidR="00DD6022" w:rsidRDefault="00DD6022">
      <w:r>
        <w:separator/>
      </w:r>
    </w:p>
  </w:footnote>
  <w:footnote w:type="continuationSeparator" w:id="0">
    <w:p w14:paraId="7E3CA979" w14:textId="77777777" w:rsidR="00DD6022" w:rsidRDefault="00DD6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0D1AC2"/>
    <w:rsid w:val="001224DA"/>
    <w:rsid w:val="00161E8E"/>
    <w:rsid w:val="0017110A"/>
    <w:rsid w:val="00183544"/>
    <w:rsid w:val="00193032"/>
    <w:rsid w:val="00193507"/>
    <w:rsid w:val="00195A29"/>
    <w:rsid w:val="001B1F53"/>
    <w:rsid w:val="001D48E7"/>
    <w:rsid w:val="001F244D"/>
    <w:rsid w:val="00204CB7"/>
    <w:rsid w:val="00207B3C"/>
    <w:rsid w:val="00207EED"/>
    <w:rsid w:val="00220746"/>
    <w:rsid w:val="002218C6"/>
    <w:rsid w:val="002546EC"/>
    <w:rsid w:val="00262659"/>
    <w:rsid w:val="00273276"/>
    <w:rsid w:val="00275C1F"/>
    <w:rsid w:val="00277BE6"/>
    <w:rsid w:val="00296754"/>
    <w:rsid w:val="00297F99"/>
    <w:rsid w:val="002A074C"/>
    <w:rsid w:val="002B00A1"/>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27F"/>
    <w:rsid w:val="004225A2"/>
    <w:rsid w:val="0042484E"/>
    <w:rsid w:val="00443919"/>
    <w:rsid w:val="00444B84"/>
    <w:rsid w:val="0045517F"/>
    <w:rsid w:val="004853B8"/>
    <w:rsid w:val="00490A28"/>
    <w:rsid w:val="004C5BB0"/>
    <w:rsid w:val="004F54D6"/>
    <w:rsid w:val="004F6142"/>
    <w:rsid w:val="00506801"/>
    <w:rsid w:val="00506D5A"/>
    <w:rsid w:val="005140ED"/>
    <w:rsid w:val="005160EE"/>
    <w:rsid w:val="005214A7"/>
    <w:rsid w:val="005245BE"/>
    <w:rsid w:val="005421FA"/>
    <w:rsid w:val="005518F6"/>
    <w:rsid w:val="005560D1"/>
    <w:rsid w:val="00570B8C"/>
    <w:rsid w:val="00581DFD"/>
    <w:rsid w:val="00585530"/>
    <w:rsid w:val="005917DC"/>
    <w:rsid w:val="005B0108"/>
    <w:rsid w:val="005B72D7"/>
    <w:rsid w:val="005D168A"/>
    <w:rsid w:val="005D27B8"/>
    <w:rsid w:val="005D2F0B"/>
    <w:rsid w:val="005E0159"/>
    <w:rsid w:val="005E2215"/>
    <w:rsid w:val="005E3D43"/>
    <w:rsid w:val="005F61AE"/>
    <w:rsid w:val="00602AC3"/>
    <w:rsid w:val="00610EA1"/>
    <w:rsid w:val="0062221E"/>
    <w:rsid w:val="006466C0"/>
    <w:rsid w:val="0065374B"/>
    <w:rsid w:val="00654065"/>
    <w:rsid w:val="00662C7D"/>
    <w:rsid w:val="0066593B"/>
    <w:rsid w:val="006836DD"/>
    <w:rsid w:val="006848C2"/>
    <w:rsid w:val="0069001F"/>
    <w:rsid w:val="006906B5"/>
    <w:rsid w:val="006939F6"/>
    <w:rsid w:val="006A6405"/>
    <w:rsid w:val="006C11CA"/>
    <w:rsid w:val="006E4E51"/>
    <w:rsid w:val="00700A2F"/>
    <w:rsid w:val="007201DC"/>
    <w:rsid w:val="0072330A"/>
    <w:rsid w:val="007449EF"/>
    <w:rsid w:val="0074622B"/>
    <w:rsid w:val="00775313"/>
    <w:rsid w:val="00794E2A"/>
    <w:rsid w:val="00796324"/>
    <w:rsid w:val="007C4BDF"/>
    <w:rsid w:val="007C799D"/>
    <w:rsid w:val="007D32CD"/>
    <w:rsid w:val="007D4630"/>
    <w:rsid w:val="007D5AEC"/>
    <w:rsid w:val="007E4B55"/>
    <w:rsid w:val="007F1077"/>
    <w:rsid w:val="00805E2B"/>
    <w:rsid w:val="00834FCD"/>
    <w:rsid w:val="008876C3"/>
    <w:rsid w:val="00892BD2"/>
    <w:rsid w:val="008D41EC"/>
    <w:rsid w:val="008D6506"/>
    <w:rsid w:val="008F2C02"/>
    <w:rsid w:val="0090083E"/>
    <w:rsid w:val="00936455"/>
    <w:rsid w:val="00950AC1"/>
    <w:rsid w:val="0096527B"/>
    <w:rsid w:val="009876DA"/>
    <w:rsid w:val="00997600"/>
    <w:rsid w:val="009977B7"/>
    <w:rsid w:val="009B7492"/>
    <w:rsid w:val="009D0327"/>
    <w:rsid w:val="009D5F69"/>
    <w:rsid w:val="009E244E"/>
    <w:rsid w:val="00A02472"/>
    <w:rsid w:val="00A057D0"/>
    <w:rsid w:val="00A304EF"/>
    <w:rsid w:val="00A4678B"/>
    <w:rsid w:val="00A61F2B"/>
    <w:rsid w:val="00A649CB"/>
    <w:rsid w:val="00A715B8"/>
    <w:rsid w:val="00A8443B"/>
    <w:rsid w:val="00A84D49"/>
    <w:rsid w:val="00A90EDD"/>
    <w:rsid w:val="00A93CC3"/>
    <w:rsid w:val="00AA14E6"/>
    <w:rsid w:val="00AC2788"/>
    <w:rsid w:val="00AC38A1"/>
    <w:rsid w:val="00AC7137"/>
    <w:rsid w:val="00AD6A6A"/>
    <w:rsid w:val="00AF44E7"/>
    <w:rsid w:val="00AF52D9"/>
    <w:rsid w:val="00B072A5"/>
    <w:rsid w:val="00B07EB3"/>
    <w:rsid w:val="00B1222A"/>
    <w:rsid w:val="00B15A84"/>
    <w:rsid w:val="00B1606A"/>
    <w:rsid w:val="00B40FD6"/>
    <w:rsid w:val="00B53265"/>
    <w:rsid w:val="00B538EC"/>
    <w:rsid w:val="00B65510"/>
    <w:rsid w:val="00B67292"/>
    <w:rsid w:val="00B86AD1"/>
    <w:rsid w:val="00BB0140"/>
    <w:rsid w:val="00BC3DE8"/>
    <w:rsid w:val="00C03320"/>
    <w:rsid w:val="00C0647E"/>
    <w:rsid w:val="00C22322"/>
    <w:rsid w:val="00C27790"/>
    <w:rsid w:val="00C428FD"/>
    <w:rsid w:val="00C55B3E"/>
    <w:rsid w:val="00C81E1B"/>
    <w:rsid w:val="00C94645"/>
    <w:rsid w:val="00CA14A0"/>
    <w:rsid w:val="00CB3F58"/>
    <w:rsid w:val="00CD4C26"/>
    <w:rsid w:val="00CE7EA0"/>
    <w:rsid w:val="00CF4B11"/>
    <w:rsid w:val="00D06E18"/>
    <w:rsid w:val="00D10289"/>
    <w:rsid w:val="00D17B85"/>
    <w:rsid w:val="00D23BF8"/>
    <w:rsid w:val="00D4423A"/>
    <w:rsid w:val="00D467AD"/>
    <w:rsid w:val="00D51155"/>
    <w:rsid w:val="00D63FF3"/>
    <w:rsid w:val="00D74526"/>
    <w:rsid w:val="00D85B8C"/>
    <w:rsid w:val="00D95537"/>
    <w:rsid w:val="00DA2F8B"/>
    <w:rsid w:val="00DB1A7B"/>
    <w:rsid w:val="00DB2FA4"/>
    <w:rsid w:val="00DD6022"/>
    <w:rsid w:val="00DD6A5F"/>
    <w:rsid w:val="00DE22D2"/>
    <w:rsid w:val="00DF736B"/>
    <w:rsid w:val="00E26B87"/>
    <w:rsid w:val="00E55E71"/>
    <w:rsid w:val="00E90C23"/>
    <w:rsid w:val="00E915A9"/>
    <w:rsid w:val="00E95B7A"/>
    <w:rsid w:val="00EC5818"/>
    <w:rsid w:val="00ED4D8D"/>
    <w:rsid w:val="00EE014F"/>
    <w:rsid w:val="00EE0CDA"/>
    <w:rsid w:val="00EF7226"/>
    <w:rsid w:val="00F10363"/>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 w:val="00FE613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542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3849</Words>
  <Characters>21943</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98</cp:revision>
  <cp:lastPrinted>2023-08-02T08:27:00Z</cp:lastPrinted>
  <dcterms:created xsi:type="dcterms:W3CDTF">2021-09-28T11:20:00Z</dcterms:created>
  <dcterms:modified xsi:type="dcterms:W3CDTF">2025-07-25T11:50:00Z</dcterms:modified>
</cp:coreProperties>
</file>